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AAA452" w14:textId="0758D4EF" w:rsidR="00CD28A4" w:rsidRPr="00CD28A4" w:rsidRDefault="00CD28A4" w:rsidP="00CD28A4">
      <w:pPr>
        <w:jc w:val="center"/>
        <w:rPr>
          <w:rFonts w:cs="Arial"/>
          <w:b/>
          <w:bCs/>
        </w:rPr>
      </w:pPr>
      <w:r w:rsidRPr="00CD28A4">
        <w:rPr>
          <w:rFonts w:cs="Arial"/>
          <w:b/>
          <w:bCs/>
        </w:rPr>
        <w:t>PROPOSICIÓN</w:t>
      </w:r>
      <w:r w:rsidR="005A776C">
        <w:rPr>
          <w:rFonts w:cs="Arial"/>
          <w:b/>
          <w:bCs/>
        </w:rPr>
        <w:t xml:space="preserve"> ADITIVA</w:t>
      </w:r>
    </w:p>
    <w:p w14:paraId="286E9C48" w14:textId="77777777" w:rsidR="00CD28A4" w:rsidRPr="00CD28A4" w:rsidRDefault="00CD28A4" w:rsidP="00CD28A4">
      <w:pPr>
        <w:jc w:val="center"/>
        <w:rPr>
          <w:rFonts w:cs="Arial"/>
          <w:b/>
          <w:bCs/>
        </w:rPr>
      </w:pPr>
    </w:p>
    <w:p w14:paraId="366E3C5D" w14:textId="77777777" w:rsidR="00CD28A4" w:rsidRPr="00CD28A4" w:rsidRDefault="00CD28A4" w:rsidP="00CD28A4">
      <w:pPr>
        <w:rPr>
          <w:rFonts w:cs="Arial"/>
          <w:b/>
          <w:lang w:val="es-CO"/>
        </w:rPr>
      </w:pPr>
      <w:r w:rsidRPr="00CD28A4">
        <w:rPr>
          <w:rFonts w:cs="Arial"/>
          <w:b/>
          <w:lang w:val="es-CO"/>
        </w:rPr>
        <w:t>Proyecto de Ley N° 280 de 2020 Cámara – 158 de 2020 Senado “Por medio de la cual se dictan disposiciones en materia de vivienda y hábitat”</w:t>
      </w:r>
    </w:p>
    <w:p w14:paraId="3E0E9D31" w14:textId="77777777" w:rsidR="00CD28A4" w:rsidRPr="00CD28A4" w:rsidRDefault="00CD28A4" w:rsidP="00CD28A4">
      <w:pPr>
        <w:rPr>
          <w:rFonts w:cs="Arial"/>
          <w:b/>
          <w:lang w:val="es-CO"/>
        </w:rPr>
      </w:pPr>
    </w:p>
    <w:p w14:paraId="51B13FBC" w14:textId="77777777" w:rsidR="00CD28A4" w:rsidRPr="00CD28A4" w:rsidRDefault="00CD28A4" w:rsidP="00CD28A4">
      <w:pPr>
        <w:rPr>
          <w:rFonts w:cs="Arial"/>
          <w:b/>
        </w:rPr>
      </w:pPr>
      <w:r w:rsidRPr="00CD28A4">
        <w:rPr>
          <w:rFonts w:cs="Arial"/>
        </w:rPr>
        <w:t>Modifíquese el artículo 42, el cual quedará así:</w:t>
      </w:r>
    </w:p>
    <w:p w14:paraId="17E6EE75" w14:textId="77777777" w:rsidR="00CD28A4" w:rsidRPr="00CD28A4" w:rsidRDefault="00CD28A4" w:rsidP="00CD28A4">
      <w:pPr>
        <w:rPr>
          <w:rFonts w:cs="Arial"/>
        </w:rPr>
      </w:pPr>
    </w:p>
    <w:tbl>
      <w:tblPr>
        <w:tblStyle w:val="Tablaconcuadrcula"/>
        <w:tblW w:w="5000" w:type="pct"/>
        <w:tblLook w:val="04A0" w:firstRow="1" w:lastRow="0" w:firstColumn="1" w:lastColumn="0" w:noHBand="0" w:noVBand="1"/>
      </w:tblPr>
      <w:tblGrid>
        <w:gridCol w:w="4414"/>
        <w:gridCol w:w="4414"/>
      </w:tblGrid>
      <w:tr w:rsidR="00CD28A4" w:rsidRPr="00CD28A4" w14:paraId="69D65FAE" w14:textId="77777777" w:rsidTr="00A40B8D">
        <w:tc>
          <w:tcPr>
            <w:tcW w:w="2500" w:type="pct"/>
          </w:tcPr>
          <w:p w14:paraId="1156CC35" w14:textId="77777777" w:rsidR="00CD28A4" w:rsidRPr="00CD28A4" w:rsidRDefault="00CD28A4" w:rsidP="00A40B8D">
            <w:pPr>
              <w:rPr>
                <w:rFonts w:eastAsia="Times New Roman" w:cs="Arial"/>
                <w:b/>
                <w:sz w:val="22"/>
                <w:szCs w:val="22"/>
              </w:rPr>
            </w:pPr>
            <w:r w:rsidRPr="00CD28A4">
              <w:rPr>
                <w:rFonts w:eastAsia="Times New Roman" w:cs="Arial"/>
                <w:b/>
                <w:sz w:val="22"/>
                <w:szCs w:val="22"/>
              </w:rPr>
              <w:t>Artículo en ponencia de primer debate</w:t>
            </w:r>
          </w:p>
        </w:tc>
        <w:tc>
          <w:tcPr>
            <w:tcW w:w="2500" w:type="pct"/>
          </w:tcPr>
          <w:p w14:paraId="49E4CE97" w14:textId="77777777" w:rsidR="00CD28A4" w:rsidRPr="00CD28A4" w:rsidRDefault="00CD28A4" w:rsidP="00A40B8D">
            <w:pPr>
              <w:rPr>
                <w:rFonts w:eastAsia="Times New Roman" w:cs="Arial"/>
                <w:b/>
                <w:sz w:val="22"/>
                <w:szCs w:val="22"/>
              </w:rPr>
            </w:pPr>
            <w:r w:rsidRPr="00CD28A4">
              <w:rPr>
                <w:rFonts w:eastAsia="Times New Roman" w:cs="Arial"/>
                <w:b/>
                <w:sz w:val="22"/>
                <w:szCs w:val="22"/>
              </w:rPr>
              <w:t>Modificación propuesta</w:t>
            </w:r>
          </w:p>
        </w:tc>
      </w:tr>
      <w:tr w:rsidR="00CD28A4" w:rsidRPr="00CD28A4" w14:paraId="16AEDF8D" w14:textId="77777777" w:rsidTr="00A40B8D">
        <w:tc>
          <w:tcPr>
            <w:tcW w:w="2500" w:type="pct"/>
          </w:tcPr>
          <w:p w14:paraId="60217478" w14:textId="77777777" w:rsidR="00CD28A4" w:rsidRPr="00CD28A4" w:rsidRDefault="00CD28A4" w:rsidP="00A40B8D">
            <w:pPr>
              <w:spacing w:after="120"/>
              <w:rPr>
                <w:rFonts w:eastAsia="Times New Roman" w:cs="Arial"/>
                <w:sz w:val="22"/>
                <w:szCs w:val="22"/>
                <w:lang w:eastAsia="es-CO"/>
              </w:rPr>
            </w:pPr>
            <w:r w:rsidRPr="00CD28A4">
              <w:rPr>
                <w:rFonts w:eastAsia="Times New Roman" w:cs="Arial"/>
                <w:b/>
                <w:bCs/>
                <w:sz w:val="22"/>
                <w:szCs w:val="22"/>
                <w:lang w:eastAsia="es-CO"/>
              </w:rPr>
              <w:t>ARTÍCULO 42. ESPACIO PÚBLICO.</w:t>
            </w:r>
            <w:r w:rsidRPr="00CD28A4">
              <w:rPr>
                <w:rFonts w:eastAsia="Times New Roman" w:cs="Arial"/>
                <w:sz w:val="22"/>
                <w:szCs w:val="22"/>
                <w:lang w:eastAsia="es-CO"/>
              </w:rPr>
              <w:t xml:space="preserve"> Modifíquese el artículo 7º de la Ley 9ª de 1989, el cual quedará así:</w:t>
            </w:r>
          </w:p>
          <w:p w14:paraId="7E7E0CC3" w14:textId="77777777" w:rsidR="00CD28A4" w:rsidRPr="00CD28A4" w:rsidRDefault="00CD28A4" w:rsidP="00A40B8D">
            <w:pPr>
              <w:spacing w:after="120"/>
              <w:rPr>
                <w:rFonts w:eastAsia="Times New Roman" w:cs="Arial"/>
                <w:sz w:val="22"/>
                <w:szCs w:val="22"/>
                <w:lang w:eastAsia="es-CO"/>
              </w:rPr>
            </w:pPr>
            <w:r w:rsidRPr="00CD28A4">
              <w:rPr>
                <w:rFonts w:eastAsia="Times New Roman" w:cs="Arial"/>
                <w:sz w:val="22"/>
                <w:szCs w:val="22"/>
                <w:lang w:eastAsia="es-CO"/>
              </w:rPr>
              <w:t>“Artículo 7°. Los Concejos Municipales y Distritales podrán, de acuerdo con sus competencias, crear entidades responsables de administrar, defender, desarrollar, mantener y apoyar financieramente el espacio público, el patrimonio inmobiliario y las áreas de cesión.</w:t>
            </w:r>
          </w:p>
          <w:p w14:paraId="44BC87A1" w14:textId="77777777" w:rsidR="00CD28A4" w:rsidRPr="00CD28A4" w:rsidRDefault="00CD28A4" w:rsidP="00A40B8D">
            <w:pPr>
              <w:spacing w:after="120"/>
              <w:rPr>
                <w:rFonts w:eastAsia="Times New Roman" w:cs="Arial"/>
                <w:sz w:val="22"/>
                <w:szCs w:val="22"/>
                <w:lang w:eastAsia="es-CO"/>
              </w:rPr>
            </w:pPr>
            <w:r w:rsidRPr="00CD28A4">
              <w:rPr>
                <w:rFonts w:eastAsia="Times New Roman" w:cs="Arial"/>
                <w:sz w:val="22"/>
                <w:szCs w:val="22"/>
                <w:lang w:eastAsia="es-CO"/>
              </w:rPr>
              <w:t>Así mismo, el alcalde Municipal o Distrital en el marco de sus competencias podrá crear dependencias u organismos administrativos, otorgándoles autonomía administrativa y financiera sin personería jurídica.</w:t>
            </w:r>
          </w:p>
          <w:p w14:paraId="0FAC0FD2" w14:textId="77777777" w:rsidR="00CD28A4" w:rsidRPr="00CD28A4" w:rsidRDefault="00CD28A4" w:rsidP="00A40B8D">
            <w:pPr>
              <w:spacing w:after="120"/>
              <w:rPr>
                <w:rFonts w:eastAsia="Times New Roman" w:cs="Arial"/>
                <w:sz w:val="22"/>
                <w:szCs w:val="22"/>
                <w:lang w:eastAsia="es-CO"/>
              </w:rPr>
            </w:pPr>
            <w:r w:rsidRPr="00CD28A4">
              <w:rPr>
                <w:rFonts w:eastAsia="Times New Roman" w:cs="Arial"/>
                <w:sz w:val="22"/>
                <w:szCs w:val="22"/>
                <w:lang w:eastAsia="es-CO"/>
              </w:rPr>
              <w:t>Los alcaldes municipales y distritales mediante decreto reglamentarán lo concerniente a la administración, mantenimiento y aprovechamiento económico del espacio público. Así mismo, podrán entregar a particulares la administración, mantenimiento y aprovechamiento económico de los bienes de uso público, utilizando el mecanismo contenido en el Capítulo XVI de la Ley 489 de 1998. Igualmente podrán expedir actos administrativos que permitan la ocupación temporal de dichos bienes, considerando en ambos casos lo dispuesto por el artículo 63 de la Constitución.</w:t>
            </w:r>
          </w:p>
          <w:p w14:paraId="56E7A715" w14:textId="77777777" w:rsidR="00CD28A4" w:rsidRPr="00CD28A4" w:rsidRDefault="00CD28A4" w:rsidP="00A40B8D">
            <w:pPr>
              <w:spacing w:after="120"/>
              <w:rPr>
                <w:rFonts w:eastAsia="Times New Roman" w:cs="Arial"/>
                <w:sz w:val="22"/>
                <w:szCs w:val="22"/>
                <w:lang w:eastAsia="es-CO"/>
              </w:rPr>
            </w:pPr>
            <w:r w:rsidRPr="00CD28A4">
              <w:rPr>
                <w:rFonts w:eastAsia="Times New Roman" w:cs="Arial"/>
                <w:sz w:val="22"/>
                <w:szCs w:val="22"/>
                <w:lang w:eastAsia="es-CO"/>
              </w:rPr>
              <w:t xml:space="preserve">Cuando las áreas de cesión para las zonas verdes y servicios comunales sean inferiores a las mínimas exigidas por las normas urbanísticas, o cuando su ubicación sea inconveniente para la ciudad, se podrá compensar la obligación de cesión, en dinero o en otros inmuebles, en los términos que reglamenten los concejos municipales. Si la compensación es en </w:t>
            </w:r>
            <w:r w:rsidRPr="00CD28A4">
              <w:rPr>
                <w:rFonts w:eastAsia="Times New Roman" w:cs="Arial"/>
                <w:sz w:val="22"/>
                <w:szCs w:val="22"/>
                <w:lang w:eastAsia="es-CO"/>
              </w:rPr>
              <w:lastRenderedPageBreak/>
              <w:t>dinero, se deberá asignar su valor a los mismos fines en lugares apropiados según lo determine el plan de ordenamiento territorial o los instrumentos que lo desarrollen o complementen. Si la compensación se satisface mediante otro inmueble, también deberá estar ubicado en un lugar apropiado según lo determine el mismo plan.</w:t>
            </w:r>
          </w:p>
          <w:p w14:paraId="1001A886" w14:textId="77777777" w:rsidR="00CD28A4" w:rsidRPr="00CD28A4" w:rsidRDefault="00CD28A4" w:rsidP="00A40B8D">
            <w:pPr>
              <w:spacing w:after="120"/>
              <w:rPr>
                <w:rFonts w:eastAsia="Times New Roman" w:cs="Arial"/>
                <w:sz w:val="22"/>
                <w:szCs w:val="22"/>
                <w:lang w:eastAsia="es-CO"/>
              </w:rPr>
            </w:pPr>
            <w:r w:rsidRPr="00CD28A4">
              <w:rPr>
                <w:rFonts w:eastAsia="Times New Roman" w:cs="Arial"/>
                <w:sz w:val="22"/>
                <w:szCs w:val="22"/>
                <w:lang w:eastAsia="es-CO"/>
              </w:rPr>
              <w:t>Los aislamientos laterales, paramentos y retrocesos de las edificaciones no podrán ser compensados en dinero ni canjeados por otros inmuebles.</w:t>
            </w:r>
          </w:p>
          <w:p w14:paraId="2AAAD2A1" w14:textId="77777777" w:rsidR="00CD28A4" w:rsidRPr="00CD28A4" w:rsidRDefault="00CD28A4" w:rsidP="00A40B8D">
            <w:pPr>
              <w:spacing w:after="120"/>
              <w:rPr>
                <w:rFonts w:eastAsia="Times New Roman" w:cs="Arial"/>
                <w:sz w:val="22"/>
                <w:szCs w:val="22"/>
                <w:lang w:eastAsia="es-CO"/>
              </w:rPr>
            </w:pPr>
            <w:r w:rsidRPr="00CD28A4">
              <w:rPr>
                <w:rFonts w:eastAsia="Times New Roman" w:cs="Arial"/>
                <w:b/>
                <w:bCs/>
                <w:sz w:val="22"/>
                <w:szCs w:val="22"/>
                <w:lang w:eastAsia="es-CO"/>
              </w:rPr>
              <w:t>Parágrafo 1º.</w:t>
            </w:r>
            <w:r w:rsidRPr="00CD28A4">
              <w:rPr>
                <w:rFonts w:eastAsia="Times New Roman" w:cs="Arial"/>
                <w:sz w:val="22"/>
                <w:szCs w:val="22"/>
                <w:lang w:eastAsia="es-CO"/>
              </w:rPr>
              <w:t xml:space="preserve"> Se presume de derecho que en los actos y contratos que se expidan y suscriban para el aprovechamiento económico del espacio público, se encuentra contenida la cláusula de reversión contenida en el Artículo 14, Numeral 2 y 19 de la Ley 80 de 1993 y Artículo 29 de la Ley 1150 de 2007, la cual operará una vez se extinga el plazo dispuesto en los actos y contratos.</w:t>
            </w:r>
          </w:p>
          <w:p w14:paraId="765F3BEF" w14:textId="77777777" w:rsidR="00CD28A4" w:rsidRPr="00CD28A4" w:rsidRDefault="00CD28A4" w:rsidP="00A40B8D">
            <w:pPr>
              <w:spacing w:after="120"/>
              <w:rPr>
                <w:rFonts w:eastAsia="Times New Roman" w:cs="Arial"/>
                <w:sz w:val="22"/>
                <w:szCs w:val="22"/>
                <w:lang w:eastAsia="es-CO"/>
              </w:rPr>
            </w:pPr>
            <w:r w:rsidRPr="00CD28A4">
              <w:rPr>
                <w:rFonts w:eastAsia="Times New Roman" w:cs="Arial"/>
                <w:b/>
                <w:bCs/>
                <w:sz w:val="22"/>
                <w:szCs w:val="22"/>
                <w:lang w:eastAsia="es-CO"/>
              </w:rPr>
              <w:t>Parágrafo 2º.</w:t>
            </w:r>
            <w:r w:rsidRPr="00CD28A4">
              <w:rPr>
                <w:rFonts w:eastAsia="Times New Roman" w:cs="Arial"/>
                <w:sz w:val="22"/>
                <w:szCs w:val="22"/>
                <w:lang w:eastAsia="es-CO"/>
              </w:rPr>
              <w:t xml:space="preserve"> Para la intervención u ocupación de los espacios públicos, la entidad administradora del espacio público o el tercero encargado no requerirá de la obtención de licencia de ocupación e intervención.</w:t>
            </w:r>
          </w:p>
          <w:p w14:paraId="3E8B2AAC" w14:textId="77777777" w:rsidR="00CD28A4" w:rsidRPr="00CD28A4" w:rsidRDefault="00CD28A4" w:rsidP="00A40B8D">
            <w:pPr>
              <w:rPr>
                <w:rFonts w:eastAsia="Times New Roman" w:cs="Arial"/>
                <w:b/>
                <w:sz w:val="22"/>
                <w:szCs w:val="22"/>
              </w:rPr>
            </w:pPr>
            <w:r w:rsidRPr="00CD28A4">
              <w:rPr>
                <w:rFonts w:eastAsia="Times New Roman" w:cs="Arial"/>
                <w:b/>
                <w:bCs/>
                <w:sz w:val="22"/>
                <w:szCs w:val="22"/>
                <w:lang w:eastAsia="es-CO"/>
              </w:rPr>
              <w:t>Parágrafo 3º.</w:t>
            </w:r>
            <w:r w:rsidRPr="00CD28A4">
              <w:rPr>
                <w:rFonts w:eastAsia="Times New Roman" w:cs="Arial"/>
                <w:sz w:val="22"/>
                <w:szCs w:val="22"/>
                <w:lang w:eastAsia="es-CO"/>
              </w:rPr>
              <w:t xml:space="preserve"> El ejercicio de las competencias contenidas en los incisos 1 y 2 de este artículo, referidas a los Concejos y Alcaldes Municipales y Distritales, se cumplirán con estricta sujeción a lo dispuesto por la Ley 617 de 2000 y todas aquellas normas que sobre responsabilidad fiscal se encuentren vigentes.”</w:t>
            </w:r>
          </w:p>
        </w:tc>
        <w:tc>
          <w:tcPr>
            <w:tcW w:w="2500" w:type="pct"/>
          </w:tcPr>
          <w:p w14:paraId="7BF0E338" w14:textId="77777777" w:rsidR="00CD28A4" w:rsidRPr="00CD28A4" w:rsidRDefault="00CD28A4" w:rsidP="00A40B8D">
            <w:pPr>
              <w:spacing w:after="120"/>
              <w:rPr>
                <w:rFonts w:eastAsia="Times New Roman" w:cs="Arial"/>
                <w:sz w:val="22"/>
                <w:szCs w:val="22"/>
                <w:lang w:eastAsia="es-CO"/>
              </w:rPr>
            </w:pPr>
            <w:r w:rsidRPr="00CD28A4">
              <w:rPr>
                <w:rFonts w:eastAsia="Times New Roman" w:cs="Arial"/>
                <w:b/>
                <w:bCs/>
                <w:sz w:val="22"/>
                <w:szCs w:val="22"/>
                <w:lang w:eastAsia="es-CO"/>
              </w:rPr>
              <w:lastRenderedPageBreak/>
              <w:t>ARTÍCULO 42. ESPACIO PÚBLICO.</w:t>
            </w:r>
            <w:r w:rsidRPr="00CD28A4">
              <w:rPr>
                <w:rFonts w:eastAsia="Times New Roman" w:cs="Arial"/>
                <w:sz w:val="22"/>
                <w:szCs w:val="22"/>
                <w:lang w:eastAsia="es-CO"/>
              </w:rPr>
              <w:t xml:space="preserve"> Modifíquese el artículo 7º de la Ley 9ª de 1989, el cual quedará así:</w:t>
            </w:r>
          </w:p>
          <w:p w14:paraId="6349DA45" w14:textId="77777777" w:rsidR="00CD28A4" w:rsidRPr="00CD28A4" w:rsidRDefault="00CD28A4" w:rsidP="00A40B8D">
            <w:pPr>
              <w:spacing w:after="120"/>
              <w:rPr>
                <w:rFonts w:eastAsia="Times New Roman" w:cs="Arial"/>
                <w:sz w:val="22"/>
                <w:szCs w:val="22"/>
                <w:lang w:eastAsia="es-CO"/>
              </w:rPr>
            </w:pPr>
            <w:r w:rsidRPr="00CD28A4">
              <w:rPr>
                <w:rFonts w:eastAsia="Times New Roman" w:cs="Arial"/>
                <w:sz w:val="22"/>
                <w:szCs w:val="22"/>
                <w:lang w:eastAsia="es-CO"/>
              </w:rPr>
              <w:t>“Artículo 7°. Los Concejos Municipales y Distritales podrán, de acuerdo con sus competencias, crear entidades responsables de administrar, defender, desarrollar, mantener y apoyar financieramente el espacio público, el patrimonio inmobiliario y las áreas de cesión.</w:t>
            </w:r>
          </w:p>
          <w:p w14:paraId="23477DE2" w14:textId="77777777" w:rsidR="00CD28A4" w:rsidRPr="00CD28A4" w:rsidRDefault="00CD28A4" w:rsidP="00A40B8D">
            <w:pPr>
              <w:spacing w:after="120"/>
              <w:rPr>
                <w:rFonts w:eastAsia="Times New Roman" w:cs="Arial"/>
                <w:sz w:val="22"/>
                <w:szCs w:val="22"/>
                <w:lang w:eastAsia="es-CO"/>
              </w:rPr>
            </w:pPr>
            <w:r w:rsidRPr="00CD28A4">
              <w:rPr>
                <w:rFonts w:eastAsia="Times New Roman" w:cs="Arial"/>
                <w:sz w:val="22"/>
                <w:szCs w:val="22"/>
                <w:lang w:eastAsia="es-CO"/>
              </w:rPr>
              <w:t>Así mismo, el alcalde Municipal o Distrital en el marco de sus competencias podrá crear dependencias u organismos administrativos, otorgándoles autonomía administrativa y financiera sin personería jurídica.</w:t>
            </w:r>
          </w:p>
          <w:p w14:paraId="08B50166" w14:textId="77777777" w:rsidR="00CD28A4" w:rsidRPr="00CD28A4" w:rsidRDefault="00CD28A4" w:rsidP="00A40B8D">
            <w:pPr>
              <w:spacing w:after="120"/>
              <w:rPr>
                <w:rFonts w:eastAsia="Times New Roman" w:cs="Arial"/>
                <w:sz w:val="22"/>
                <w:szCs w:val="22"/>
                <w:lang w:eastAsia="es-CO"/>
              </w:rPr>
            </w:pPr>
            <w:r w:rsidRPr="00CD28A4">
              <w:rPr>
                <w:rFonts w:eastAsia="Times New Roman" w:cs="Arial"/>
                <w:sz w:val="22"/>
                <w:szCs w:val="22"/>
                <w:lang w:eastAsia="es-CO"/>
              </w:rPr>
              <w:t>Los alcaldes municipales y distritales mediante decreto reglamentarán lo concerniente a la administración, mantenimiento y aprovechamiento económico del espacio público. Así mismo, podrán entregar a particulares la administración, mantenimiento y aprovechamiento económico de los bienes de uso público, utilizando el mecanismo contenido en el Capítulo XVI de la Ley 489 de 1998. Igualmente podrán expedir actos administrativos que permitan la ocupación temporal de dichos bienes, considerando en ambos casos lo dispuesto por el artículo 63 de la Constitución.</w:t>
            </w:r>
          </w:p>
          <w:p w14:paraId="230365AC" w14:textId="77777777" w:rsidR="00CD28A4" w:rsidRPr="00CD28A4" w:rsidRDefault="00CD28A4" w:rsidP="00A40B8D">
            <w:pPr>
              <w:spacing w:after="120"/>
              <w:rPr>
                <w:rFonts w:eastAsia="Times New Roman" w:cs="Arial"/>
                <w:sz w:val="22"/>
                <w:szCs w:val="22"/>
                <w:lang w:eastAsia="es-CO"/>
              </w:rPr>
            </w:pPr>
            <w:r w:rsidRPr="00CD28A4">
              <w:rPr>
                <w:rFonts w:eastAsia="Times New Roman" w:cs="Arial"/>
                <w:sz w:val="22"/>
                <w:szCs w:val="22"/>
                <w:lang w:eastAsia="es-CO"/>
              </w:rPr>
              <w:t xml:space="preserve">Cuando las áreas de cesión para las zonas verdes y servicios comunales sean inferiores a las mínimas exigidas por las normas urbanísticas, o cuando su ubicación sea inconveniente para la ciudad, se podrá compensar la obligación de cesión, en dinero o en otros inmuebles, en los términos que reglamenten los concejos municipales. Si la compensación es en </w:t>
            </w:r>
            <w:r w:rsidRPr="00CD28A4">
              <w:rPr>
                <w:rFonts w:eastAsia="Times New Roman" w:cs="Arial"/>
                <w:sz w:val="22"/>
                <w:szCs w:val="22"/>
                <w:lang w:eastAsia="es-CO"/>
              </w:rPr>
              <w:lastRenderedPageBreak/>
              <w:t>dinero, se deberá asignar su valor a los mismos fines en lugares apropiados según lo determine el plan de ordenamiento territorial o los instrumentos que lo desarrollen o complementen. Si la compensación se satisface mediante otro inmueble, también deberá estar ubicado en un lugar apropiado según lo determine el mismo plan.</w:t>
            </w:r>
          </w:p>
          <w:p w14:paraId="54603320" w14:textId="77777777" w:rsidR="00CD28A4" w:rsidRPr="00CD28A4" w:rsidRDefault="00CD28A4" w:rsidP="00A40B8D">
            <w:pPr>
              <w:spacing w:after="120"/>
              <w:rPr>
                <w:rFonts w:eastAsia="Times New Roman" w:cs="Arial"/>
                <w:sz w:val="22"/>
                <w:szCs w:val="22"/>
                <w:lang w:eastAsia="es-CO"/>
              </w:rPr>
            </w:pPr>
            <w:r w:rsidRPr="00CD28A4">
              <w:rPr>
                <w:rFonts w:eastAsia="Times New Roman" w:cs="Arial"/>
                <w:sz w:val="22"/>
                <w:szCs w:val="22"/>
                <w:lang w:eastAsia="es-CO"/>
              </w:rPr>
              <w:t>Los aislamientos laterales, paramentos y retrocesos de las edificaciones no podrán ser compensados en dinero ni canjeados por otros inmuebles.</w:t>
            </w:r>
          </w:p>
          <w:p w14:paraId="099642F2" w14:textId="77777777" w:rsidR="00CD28A4" w:rsidRPr="00CD28A4" w:rsidRDefault="00CD28A4" w:rsidP="00A40B8D">
            <w:pPr>
              <w:spacing w:after="120"/>
              <w:rPr>
                <w:rFonts w:eastAsia="Times New Roman" w:cs="Arial"/>
                <w:sz w:val="22"/>
                <w:szCs w:val="22"/>
                <w:lang w:eastAsia="es-CO"/>
              </w:rPr>
            </w:pPr>
            <w:r w:rsidRPr="00CD28A4">
              <w:rPr>
                <w:rFonts w:eastAsia="Times New Roman" w:cs="Arial"/>
                <w:b/>
                <w:bCs/>
                <w:sz w:val="22"/>
                <w:szCs w:val="22"/>
                <w:lang w:eastAsia="es-CO"/>
              </w:rPr>
              <w:t>Parágrafo 1º.</w:t>
            </w:r>
            <w:r w:rsidRPr="00CD28A4">
              <w:rPr>
                <w:rFonts w:eastAsia="Times New Roman" w:cs="Arial"/>
                <w:sz w:val="22"/>
                <w:szCs w:val="22"/>
                <w:lang w:eastAsia="es-CO"/>
              </w:rPr>
              <w:t xml:space="preserve"> Se presume de derecho que en los actos y contratos que se expidan y suscriban para el aprovechamiento económico del espacio público, se encuentra contenida la cláusula de reversión contenida en el Artículo 14, Numeral 2 y 19 de la Ley 80 de 1993 y Artículo 29 de la Ley 1150 de 2007, la cual operará una vez se extinga el plazo dispuesto en los actos y contratos.</w:t>
            </w:r>
          </w:p>
          <w:p w14:paraId="6492FC1A" w14:textId="77777777" w:rsidR="00CD28A4" w:rsidRPr="00CD28A4" w:rsidRDefault="00CD28A4" w:rsidP="00A40B8D">
            <w:pPr>
              <w:spacing w:after="120"/>
              <w:rPr>
                <w:rFonts w:eastAsia="Times New Roman" w:cs="Arial"/>
                <w:sz w:val="22"/>
                <w:szCs w:val="22"/>
                <w:lang w:eastAsia="es-CO"/>
              </w:rPr>
            </w:pPr>
            <w:r w:rsidRPr="00CD28A4">
              <w:rPr>
                <w:rFonts w:eastAsia="Times New Roman" w:cs="Arial"/>
                <w:b/>
                <w:bCs/>
                <w:sz w:val="22"/>
                <w:szCs w:val="22"/>
                <w:lang w:eastAsia="es-CO"/>
              </w:rPr>
              <w:t>Parágrafo 2º.</w:t>
            </w:r>
            <w:r w:rsidRPr="00CD28A4">
              <w:rPr>
                <w:rFonts w:eastAsia="Times New Roman" w:cs="Arial"/>
                <w:sz w:val="22"/>
                <w:szCs w:val="22"/>
                <w:lang w:eastAsia="es-CO"/>
              </w:rPr>
              <w:t xml:space="preserve"> Para la intervención u ocupación de los espacios públicos, la entidad administradora del espacio público o el tercero encargado no requerirá de la obtención de licencia de ocupación e intervención.</w:t>
            </w:r>
          </w:p>
          <w:p w14:paraId="75DE6881" w14:textId="77777777" w:rsidR="00CD28A4" w:rsidRPr="00CD28A4" w:rsidRDefault="00CD28A4" w:rsidP="00A40B8D">
            <w:pPr>
              <w:spacing w:after="120" w:line="276" w:lineRule="auto"/>
              <w:rPr>
                <w:rFonts w:eastAsia="Times New Roman" w:cs="Arial"/>
                <w:sz w:val="22"/>
                <w:szCs w:val="22"/>
                <w:lang w:eastAsia="es-CO"/>
              </w:rPr>
            </w:pPr>
            <w:r w:rsidRPr="00CD28A4">
              <w:rPr>
                <w:rFonts w:eastAsia="Times New Roman" w:cs="Arial"/>
                <w:b/>
                <w:bCs/>
                <w:sz w:val="22"/>
                <w:szCs w:val="22"/>
                <w:lang w:eastAsia="es-CO"/>
              </w:rPr>
              <w:t>Parágrafo 3º.</w:t>
            </w:r>
            <w:r w:rsidRPr="00CD28A4">
              <w:rPr>
                <w:rFonts w:eastAsia="Times New Roman" w:cs="Arial"/>
                <w:sz w:val="22"/>
                <w:szCs w:val="22"/>
                <w:lang w:eastAsia="es-CO"/>
              </w:rPr>
              <w:t xml:space="preserve"> El ejercicio de las competencias contenidas en los incisos 1 y 2 de este artículo, referidas a los Concejos y Alcaldes Municipales y Distritales, se cumplirán con estricta sujeción a lo dispuesto por la Ley 617 de 2000 y todas aquellas normas que sobre responsabilidad fiscal se encuentren vigentes.”</w:t>
            </w:r>
          </w:p>
          <w:p w14:paraId="705C0EC0" w14:textId="77777777" w:rsidR="00CD28A4" w:rsidRPr="00CD28A4" w:rsidRDefault="00CD28A4" w:rsidP="00A40B8D">
            <w:pPr>
              <w:rPr>
                <w:rFonts w:cs="Arial"/>
                <w:bCs/>
                <w:sz w:val="22"/>
                <w:szCs w:val="22"/>
                <w:lang w:val="es-CO"/>
              </w:rPr>
            </w:pPr>
            <w:r w:rsidRPr="00CD28A4">
              <w:rPr>
                <w:rFonts w:eastAsia="Times New Roman" w:cs="Arial"/>
                <w:b/>
                <w:bCs/>
                <w:sz w:val="22"/>
                <w:szCs w:val="22"/>
                <w:lang w:eastAsia="es-CO"/>
              </w:rPr>
              <w:t xml:space="preserve">Parágrafo nuevo. El presente artículo debe aplicarse observando los principios de razonabilidad y proporcionalidad cuando se esté frente a colectivos en condiciones de vulnerabilidad y amparados por la confianza legítima, si previamente no se han adelantado programas de reubicación o brindado alternativas de trabajo formal, que materialicen los </w:t>
            </w:r>
            <w:r w:rsidRPr="00CD28A4">
              <w:rPr>
                <w:rFonts w:eastAsia="Times New Roman" w:cs="Arial"/>
                <w:b/>
                <w:bCs/>
                <w:sz w:val="22"/>
                <w:szCs w:val="22"/>
                <w:lang w:eastAsia="es-CO"/>
              </w:rPr>
              <w:lastRenderedPageBreak/>
              <w:t>derechos a la dignidad humana, al mínimo vital y al trabajo.</w:t>
            </w:r>
          </w:p>
        </w:tc>
      </w:tr>
    </w:tbl>
    <w:p w14:paraId="4DC2EB2E" w14:textId="77777777" w:rsidR="00CD28A4" w:rsidRPr="00CD28A4" w:rsidRDefault="00CD28A4" w:rsidP="00CD28A4">
      <w:pPr>
        <w:rPr>
          <w:rFonts w:cs="Arial"/>
        </w:rPr>
      </w:pPr>
    </w:p>
    <w:p w14:paraId="49C51E13" w14:textId="77777777" w:rsidR="00CD28A4" w:rsidRPr="00CD28A4" w:rsidRDefault="00CD28A4" w:rsidP="00CD28A4">
      <w:pPr>
        <w:rPr>
          <w:rFonts w:cs="Arial"/>
        </w:rPr>
      </w:pPr>
      <w:r w:rsidRPr="00CD28A4">
        <w:rPr>
          <w:rFonts w:cs="Arial"/>
          <w:noProof/>
        </w:rPr>
        <w:drawing>
          <wp:inline distT="0" distB="0" distL="0" distR="0" wp14:anchorId="07AB0D66" wp14:editId="482DB0E2">
            <wp:extent cx="1708306" cy="757990"/>
            <wp:effectExtent l="0" t="0" r="0" b="4445"/>
            <wp:docPr id="16" name="Imagen 16" descr="Imagen que contiene 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tabla&#10;&#10;Descripción generada automáticamente"/>
                    <pic:cNvPicPr/>
                  </pic:nvPicPr>
                  <pic:blipFill>
                    <a:blip r:embed="rId4"/>
                    <a:stretch>
                      <a:fillRect/>
                    </a:stretch>
                  </pic:blipFill>
                  <pic:spPr>
                    <a:xfrm>
                      <a:off x="0" y="0"/>
                      <a:ext cx="1712861" cy="760011"/>
                    </a:xfrm>
                    <a:prstGeom prst="rect">
                      <a:avLst/>
                    </a:prstGeom>
                  </pic:spPr>
                </pic:pic>
              </a:graphicData>
            </a:graphic>
          </wp:inline>
        </w:drawing>
      </w:r>
    </w:p>
    <w:p w14:paraId="2A1F9AFE" w14:textId="77777777" w:rsidR="00CD28A4" w:rsidRPr="00CD28A4" w:rsidRDefault="00CD28A4" w:rsidP="00CD28A4">
      <w:pPr>
        <w:rPr>
          <w:rFonts w:cs="Arial"/>
          <w:b/>
          <w:bCs/>
        </w:rPr>
      </w:pPr>
      <w:r w:rsidRPr="00CD28A4">
        <w:rPr>
          <w:rFonts w:cs="Arial"/>
        </w:rPr>
        <w:t xml:space="preserve"> </w:t>
      </w:r>
      <w:r w:rsidRPr="00CD28A4">
        <w:rPr>
          <w:rFonts w:cs="Arial"/>
          <w:b/>
          <w:bCs/>
        </w:rPr>
        <w:t xml:space="preserve">FABIÁN DÍAZ PLATA </w:t>
      </w:r>
    </w:p>
    <w:p w14:paraId="1989BED1" w14:textId="77777777" w:rsidR="00CD28A4" w:rsidRPr="00CD28A4" w:rsidRDefault="00CD28A4" w:rsidP="00CD28A4">
      <w:pPr>
        <w:rPr>
          <w:rFonts w:cs="Arial"/>
        </w:rPr>
      </w:pPr>
      <w:r w:rsidRPr="00CD28A4">
        <w:rPr>
          <w:rFonts w:cs="Arial"/>
        </w:rPr>
        <w:t xml:space="preserve">Representante a la Cámara </w:t>
      </w:r>
    </w:p>
    <w:p w14:paraId="546A28C6" w14:textId="77777777" w:rsidR="00CD28A4" w:rsidRPr="00CD28A4" w:rsidRDefault="00CD28A4" w:rsidP="00CD28A4">
      <w:pPr>
        <w:rPr>
          <w:rFonts w:cs="Arial"/>
        </w:rPr>
      </w:pPr>
      <w:r w:rsidRPr="00CD28A4">
        <w:rPr>
          <w:rFonts w:cs="Arial"/>
        </w:rPr>
        <w:t>Departamento de Santander</w:t>
      </w:r>
    </w:p>
    <w:p w14:paraId="528D9F27" w14:textId="77777777" w:rsidR="004C3805" w:rsidRPr="00CD28A4" w:rsidRDefault="005A776C">
      <w:pPr>
        <w:rPr>
          <w:rFonts w:cs="Arial"/>
        </w:rPr>
      </w:pPr>
    </w:p>
    <w:sectPr w:rsidR="004C3805" w:rsidRPr="00CD28A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8A4"/>
    <w:rsid w:val="00004D1F"/>
    <w:rsid w:val="00026B0B"/>
    <w:rsid w:val="00043759"/>
    <w:rsid w:val="0014714E"/>
    <w:rsid w:val="001A71BF"/>
    <w:rsid w:val="001B1C34"/>
    <w:rsid w:val="001B46D0"/>
    <w:rsid w:val="001D1881"/>
    <w:rsid w:val="002411A7"/>
    <w:rsid w:val="0026324B"/>
    <w:rsid w:val="00301ED8"/>
    <w:rsid w:val="00352078"/>
    <w:rsid w:val="003857D7"/>
    <w:rsid w:val="003A0C77"/>
    <w:rsid w:val="00432534"/>
    <w:rsid w:val="0045012D"/>
    <w:rsid w:val="004673DC"/>
    <w:rsid w:val="00482BAF"/>
    <w:rsid w:val="004F691F"/>
    <w:rsid w:val="004F6952"/>
    <w:rsid w:val="004F6D48"/>
    <w:rsid w:val="00543877"/>
    <w:rsid w:val="00576621"/>
    <w:rsid w:val="00593C02"/>
    <w:rsid w:val="005A776C"/>
    <w:rsid w:val="005F19F1"/>
    <w:rsid w:val="00617054"/>
    <w:rsid w:val="006325FD"/>
    <w:rsid w:val="00664CC7"/>
    <w:rsid w:val="00675BC9"/>
    <w:rsid w:val="006A795F"/>
    <w:rsid w:val="007319AF"/>
    <w:rsid w:val="0077183E"/>
    <w:rsid w:val="00883F72"/>
    <w:rsid w:val="00886FCF"/>
    <w:rsid w:val="008A702E"/>
    <w:rsid w:val="008B6095"/>
    <w:rsid w:val="008C61A4"/>
    <w:rsid w:val="008F2145"/>
    <w:rsid w:val="00984C16"/>
    <w:rsid w:val="00993517"/>
    <w:rsid w:val="00997B21"/>
    <w:rsid w:val="009D307E"/>
    <w:rsid w:val="00A92E18"/>
    <w:rsid w:val="00B0341A"/>
    <w:rsid w:val="00B20731"/>
    <w:rsid w:val="00B43DEB"/>
    <w:rsid w:val="00B81345"/>
    <w:rsid w:val="00BE3F66"/>
    <w:rsid w:val="00BE5935"/>
    <w:rsid w:val="00C460EC"/>
    <w:rsid w:val="00C54113"/>
    <w:rsid w:val="00C65B70"/>
    <w:rsid w:val="00C85D68"/>
    <w:rsid w:val="00C967F8"/>
    <w:rsid w:val="00CB2638"/>
    <w:rsid w:val="00CC366C"/>
    <w:rsid w:val="00CD28A4"/>
    <w:rsid w:val="00CD6555"/>
    <w:rsid w:val="00CF432B"/>
    <w:rsid w:val="00CF76DE"/>
    <w:rsid w:val="00E15B74"/>
    <w:rsid w:val="00E20A5E"/>
    <w:rsid w:val="00E44343"/>
    <w:rsid w:val="00E50E44"/>
    <w:rsid w:val="00E775A2"/>
    <w:rsid w:val="00ED78AF"/>
    <w:rsid w:val="00EF4E6D"/>
    <w:rsid w:val="00F034D7"/>
    <w:rsid w:val="00F40430"/>
    <w:rsid w:val="00F4125C"/>
    <w:rsid w:val="00F514FB"/>
    <w:rsid w:val="00F52C90"/>
    <w:rsid w:val="00F81432"/>
    <w:rsid w:val="00FB28F0"/>
    <w:rsid w:val="00FD3F8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CFECF"/>
  <w15:chartTrackingRefBased/>
  <w15:docId w15:val="{FB45D5A6-0A57-48E7-8501-3E85A67A4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28A4"/>
    <w:pPr>
      <w:spacing w:after="0" w:line="240" w:lineRule="auto"/>
      <w:jc w:val="both"/>
    </w:pPr>
    <w:rPr>
      <w:rFonts w:ascii="Arial" w:eastAsiaTheme="minorEastAsia" w:hAnsi="Arial"/>
      <w:lang w:val="es-ES"/>
    </w:rPr>
  </w:style>
  <w:style w:type="paragraph" w:styleId="Ttulo1">
    <w:name w:val="heading 1"/>
    <w:basedOn w:val="Normal"/>
    <w:next w:val="Normal"/>
    <w:link w:val="Ttulo1Car"/>
    <w:uiPriority w:val="9"/>
    <w:qFormat/>
    <w:rsid w:val="00BE3F66"/>
    <w:pPr>
      <w:keepNext/>
      <w:keepLines/>
      <w:spacing w:before="240"/>
      <w:outlineLvl w:val="0"/>
    </w:pPr>
    <w:rPr>
      <w:rFonts w:eastAsiaTheme="majorEastAsia" w:cstheme="majorBidi"/>
      <w:b/>
      <w:color w:val="2F5496" w:themeColor="accent1" w:themeShade="BF"/>
      <w:sz w:val="24"/>
      <w:szCs w:val="32"/>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E3F66"/>
    <w:rPr>
      <w:rFonts w:ascii="Arial" w:eastAsiaTheme="majorEastAsia" w:hAnsi="Arial" w:cstheme="majorBidi"/>
      <w:b/>
      <w:color w:val="2F5496" w:themeColor="accent1" w:themeShade="BF"/>
      <w:sz w:val="24"/>
      <w:szCs w:val="32"/>
    </w:rPr>
  </w:style>
  <w:style w:type="table" w:styleId="Tablaconcuadrcula">
    <w:name w:val="Table Grid"/>
    <w:basedOn w:val="Tablanormal"/>
    <w:uiPriority w:val="39"/>
    <w:rsid w:val="00CD28A4"/>
    <w:pPr>
      <w:spacing w:after="0" w:line="240" w:lineRule="auto"/>
    </w:pPr>
    <w:rPr>
      <w:sz w:val="24"/>
      <w:szCs w:val="24"/>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tif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997</Words>
  <Characters>5484</Characters>
  <Application>Microsoft Office Word</Application>
  <DocSecurity>0</DocSecurity>
  <Lines>45</Lines>
  <Paragraphs>12</Paragraphs>
  <ScaleCrop>false</ScaleCrop>
  <Company/>
  <LinksUpToDate>false</LinksUpToDate>
  <CharactersWithSpaces>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Plazas</dc:creator>
  <cp:keywords/>
  <dc:description/>
  <cp:lastModifiedBy>Carlos Plazas</cp:lastModifiedBy>
  <cp:revision>2</cp:revision>
  <dcterms:created xsi:type="dcterms:W3CDTF">2020-10-29T14:41:00Z</dcterms:created>
  <dcterms:modified xsi:type="dcterms:W3CDTF">2020-10-29T14:55:00Z</dcterms:modified>
</cp:coreProperties>
</file>